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rPr/>
      </w:pPr>
      <w:bookmarkStart w:colFirst="0" w:colLast="0" w:name="_jnb52rwekm1o" w:id="0"/>
      <w:bookmarkEnd w:id="0"/>
      <w:r w:rsidDel="00000000" w:rsidR="00000000" w:rsidRPr="00000000">
        <w:rPr>
          <w:rtl w:val="0"/>
        </w:rPr>
        <w:t xml:space="preserve">Cumplimiento normativo de </w:t>
      </w:r>
      <w:r w:rsidDel="00000000" w:rsidR="00000000" w:rsidRPr="00000000">
        <w:rPr>
          <w:rtl w:val="0"/>
        </w:rPr>
        <w:t xml:space="preserve">Denuncias.app</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Denuncias.app es una herramienta que te permite de forma sencilla implantar un canal de denuncias de forma sencilla para tu empresa, de forma que puedas cumplir con los requerimientos de la norma. Para ello, incluye las siguientes características: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La herramienta permite realizar denuncias por escrito, indicando:</w:t>
      </w:r>
    </w:p>
    <w:p w:rsidR="00000000" w:rsidDel="00000000" w:rsidP="00000000" w:rsidRDefault="00000000" w:rsidRPr="00000000" w14:paraId="00000008">
      <w:pPr>
        <w:numPr>
          <w:ilvl w:val="0"/>
          <w:numId w:val="1"/>
        </w:numPr>
        <w:ind w:left="720" w:hanging="360"/>
        <w:jc w:val="both"/>
        <w:rPr>
          <w:u w:val="none"/>
        </w:rPr>
      </w:pPr>
      <w:r w:rsidDel="00000000" w:rsidR="00000000" w:rsidRPr="00000000">
        <w:rPr>
          <w:rtl w:val="0"/>
        </w:rPr>
        <w:t xml:space="preserve">Descripción de la denuncia</w:t>
      </w:r>
    </w:p>
    <w:p w:rsidR="00000000" w:rsidDel="00000000" w:rsidP="00000000" w:rsidRDefault="00000000" w:rsidRPr="00000000" w14:paraId="00000009">
      <w:pPr>
        <w:numPr>
          <w:ilvl w:val="0"/>
          <w:numId w:val="1"/>
        </w:numPr>
        <w:ind w:left="720" w:hanging="360"/>
        <w:jc w:val="both"/>
        <w:rPr>
          <w:u w:val="none"/>
        </w:rPr>
      </w:pPr>
      <w:r w:rsidDel="00000000" w:rsidR="00000000" w:rsidRPr="00000000">
        <w:rPr>
          <w:rtl w:val="0"/>
        </w:rPr>
        <w:t xml:space="preserve">Lugar de los hechos</w:t>
      </w:r>
    </w:p>
    <w:p w:rsidR="00000000" w:rsidDel="00000000" w:rsidP="00000000" w:rsidRDefault="00000000" w:rsidRPr="00000000" w14:paraId="0000000A">
      <w:pPr>
        <w:numPr>
          <w:ilvl w:val="0"/>
          <w:numId w:val="1"/>
        </w:numPr>
        <w:ind w:left="720" w:hanging="360"/>
        <w:jc w:val="both"/>
        <w:rPr>
          <w:u w:val="none"/>
        </w:rPr>
      </w:pPr>
      <w:r w:rsidDel="00000000" w:rsidR="00000000" w:rsidRPr="00000000">
        <w:rPr>
          <w:rtl w:val="0"/>
        </w:rPr>
        <w:t xml:space="preserve">Fecha de los hechos</w:t>
      </w:r>
    </w:p>
    <w:p w:rsidR="00000000" w:rsidDel="00000000" w:rsidP="00000000" w:rsidRDefault="00000000" w:rsidRPr="00000000" w14:paraId="0000000B">
      <w:pPr>
        <w:numPr>
          <w:ilvl w:val="0"/>
          <w:numId w:val="1"/>
        </w:numPr>
        <w:ind w:left="720" w:hanging="360"/>
        <w:jc w:val="both"/>
        <w:rPr>
          <w:u w:val="none"/>
        </w:rPr>
      </w:pPr>
      <w:r w:rsidDel="00000000" w:rsidR="00000000" w:rsidRPr="00000000">
        <w:rPr>
          <w:rtl w:val="0"/>
        </w:rPr>
        <w:t xml:space="preserve">Y opcionalmente información adicional como los datos de contacto del denunciante, subida de documentación, u observaciones adicionales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Fácil de</w:t>
      </w:r>
      <w:r w:rsidDel="00000000" w:rsidR="00000000" w:rsidRPr="00000000">
        <w:rPr>
          <w:b w:val="1"/>
          <w:rtl w:val="0"/>
        </w:rPr>
        <w:t xml:space="preserve"> comunicación bidireccional</w:t>
      </w:r>
      <w:r w:rsidDel="00000000" w:rsidR="00000000" w:rsidRPr="00000000">
        <w:rPr>
          <w:rtl w:val="0"/>
        </w:rPr>
        <w:t xml:space="preserve"> después del envío. El denunciante puede volver a acceder a la denuncia para entablar una comunicación anónima con la empresa.</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La empresa puede </w:t>
      </w:r>
      <w:r w:rsidDel="00000000" w:rsidR="00000000" w:rsidRPr="00000000">
        <w:rPr>
          <w:b w:val="1"/>
          <w:rtl w:val="0"/>
        </w:rPr>
        <w:t xml:space="preserve">recibir informes anónimos de presuntas actividades ilegales</w:t>
      </w:r>
      <w:r w:rsidDel="00000000" w:rsidR="00000000" w:rsidRPr="00000000">
        <w:rPr>
          <w:rtl w:val="0"/>
        </w:rPr>
        <w:t xml:space="preserve">. El canal debe ser fácilmente accesible para los empleados, incluyendo un enlace al mismo en la web de la empresa.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Acceso por usuario y contraseña, con asignación de roles, para que sólo pueda acceder a las denuncias el personal autorizado.</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La información de las denuncias se almacenará en la herramienta durante un período mínimo de 4 años desde el momento en el que se finaliza la gestión de la denuncia. Esto permite realizar nuevas investigaciones sobre las denuncias existentes así como cumplir con cualquier auditoría de las denuncias que se han reportado.</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La herramienta emitirá un acuse de recibo de la denuncia automático en el momento en el que la denuncia sea almacenada en el sistema y comunicada a la empresa. Este acuse de recibo se enviará por email al denunciante en caso de que lo proporcione, y en caso contrario se descargará automáticamente en el dispositivo en el que el denunciante genere la denuncia. De esta forma cumplimos con el requerimiento de acuse de recibo de la norma que establece un plazo no superior a 7 días desde la recepción de la denuncia.</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b w:val="1"/>
          <w:rtl w:val="0"/>
        </w:rPr>
        <w:t xml:space="preserve">Requisitos de la empresa:</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La empresa deberá designar a un responsable autónomo e imparcial para realizar el seguimiento e investigación de las denuncias. En el momento del alta en la herramienta se configurará el email de este responsable para que reciba notificaciones de las denuncias que se reporten en la herramienta.</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Adicionalmente a las características propias de la herramienta, la empresa deberá establecer las siguientes garantías frente a los denunciantes:</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numPr>
          <w:ilvl w:val="0"/>
          <w:numId w:val="2"/>
        </w:numPr>
        <w:ind w:left="720" w:hanging="360"/>
        <w:jc w:val="both"/>
        <w:rPr>
          <w:u w:val="none"/>
        </w:rPr>
      </w:pPr>
      <w:r w:rsidDel="00000000" w:rsidR="00000000" w:rsidRPr="00000000">
        <w:rPr>
          <w:rtl w:val="0"/>
        </w:rPr>
        <w:t xml:space="preserve">Se les proporcionará información y asesoramiento respecto a los procedimientos y recursos a su disposición.</w:t>
      </w:r>
    </w:p>
    <w:p w:rsidR="00000000" w:rsidDel="00000000" w:rsidP="00000000" w:rsidRDefault="00000000" w:rsidRPr="00000000" w14:paraId="0000001E">
      <w:pPr>
        <w:numPr>
          <w:ilvl w:val="0"/>
          <w:numId w:val="2"/>
        </w:numPr>
        <w:ind w:left="720" w:hanging="360"/>
        <w:jc w:val="both"/>
        <w:rPr>
          <w:u w:val="none"/>
        </w:rPr>
      </w:pPr>
      <w:r w:rsidDel="00000000" w:rsidR="00000000" w:rsidRPr="00000000">
        <w:rPr>
          <w:rtl w:val="0"/>
        </w:rPr>
        <w:t xml:space="preserve">Asistencia de las autoridades competentes para garantizar su protección frente a posibles represalias.</w:t>
      </w:r>
    </w:p>
    <w:p w:rsidR="00000000" w:rsidDel="00000000" w:rsidP="00000000" w:rsidRDefault="00000000" w:rsidRPr="00000000" w14:paraId="0000001F">
      <w:pPr>
        <w:numPr>
          <w:ilvl w:val="0"/>
          <w:numId w:val="2"/>
        </w:numPr>
        <w:ind w:left="720" w:hanging="360"/>
        <w:jc w:val="both"/>
        <w:rPr>
          <w:u w:val="none"/>
        </w:rPr>
      </w:pPr>
      <w:r w:rsidDel="00000000" w:rsidR="00000000" w:rsidRPr="00000000">
        <w:rPr>
          <w:rtl w:val="0"/>
        </w:rPr>
        <w:t xml:space="preserve">Asistencia financiera y otras medidas de apoyo al denunciante, en el marco de un posible proceso judicial.</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Denuncias.app no se hace responsable de las formaciones que realice la empresa a sus trabajadores, ni de la gestión de las denuncias que debe ser realizada por la empresa.</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Como servicio adicional, se ofrece a la empresa la posibilidad de gestión externalizada de las denuncias por parte del </w:t>
      </w:r>
      <w:r w:rsidDel="00000000" w:rsidR="00000000" w:rsidRPr="00000000">
        <w:rPr>
          <w:rtl w:val="0"/>
        </w:rPr>
        <w:t xml:space="preserve">bufete de abogados López-Benavides &amp; Royo. </w:t>
      </w:r>
      <w:r w:rsidDel="00000000" w:rsidR="00000000" w:rsidRPr="00000000">
        <w:rPr>
          <w:rtl w:val="0"/>
        </w:rPr>
      </w:r>
    </w:p>
    <w:p w:rsidR="00000000" w:rsidDel="00000000" w:rsidP="00000000" w:rsidRDefault="00000000" w:rsidRPr="00000000" w14:paraId="00000024">
      <w:pPr>
        <w:jc w:val="both"/>
        <w:rPr/>
      </w:pPr>
      <w:hyperlink r:id="rId6">
        <w:r w:rsidDel="00000000" w:rsidR="00000000" w:rsidRPr="00000000">
          <w:rPr>
            <w:color w:val="1155cc"/>
            <w:u w:val="single"/>
            <w:rtl w:val="0"/>
          </w:rPr>
          <w:t xml:space="preserve">http://lbrlegal.com/</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López-Benavides &amp; Royo certifica que Denuncias.app cumple con los requisitos mencionados en este documento, y que cumple con todos los requerimientos de la norma. Así mismo garantiza que con la activación de este servicio por parte de una empresa, siempre que esta cumpla los requisitos mencionados en el apartado </w:t>
      </w:r>
      <w:r w:rsidDel="00000000" w:rsidR="00000000" w:rsidRPr="00000000">
        <w:rPr>
          <w:b w:val="1"/>
          <w:i w:val="1"/>
          <w:rtl w:val="0"/>
        </w:rPr>
        <w:t xml:space="preserve">Requisitos de la empresa</w:t>
      </w:r>
      <w:r w:rsidDel="00000000" w:rsidR="00000000" w:rsidRPr="00000000">
        <w:rPr>
          <w:rtl w:val="0"/>
        </w:rPr>
        <w:t xml:space="preserve"> </w:t>
      </w:r>
      <w:r w:rsidDel="00000000" w:rsidR="00000000" w:rsidRPr="00000000">
        <w:rPr>
          <w:rtl w:val="0"/>
        </w:rPr>
        <w:t xml:space="preserve">esta</w:t>
      </w:r>
      <w:r w:rsidDel="00000000" w:rsidR="00000000" w:rsidRPr="00000000">
        <w:rPr>
          <w:rtl w:val="0"/>
        </w:rPr>
        <w:t xml:space="preserve"> cumplirá con los requerimientos de la norma.  Y para que quede constancia de esto, </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Rodrigo GGGG </w:t>
      </w:r>
    </w:p>
    <w:p w:rsidR="00000000" w:rsidDel="00000000" w:rsidP="00000000" w:rsidRDefault="00000000" w:rsidRPr="00000000" w14:paraId="00000029">
      <w:pPr>
        <w:jc w:val="both"/>
        <w:rPr/>
      </w:pPr>
      <w:r w:rsidDel="00000000" w:rsidR="00000000" w:rsidRPr="00000000">
        <w:rPr>
          <w:rtl w:val="0"/>
        </w:rPr>
        <w:t xml:space="preserve">DNI</w:t>
      </w:r>
    </w:p>
    <w:p w:rsidR="00000000" w:rsidDel="00000000" w:rsidP="00000000" w:rsidRDefault="00000000" w:rsidRPr="00000000" w14:paraId="0000002A">
      <w:pPr>
        <w:jc w:val="both"/>
        <w:rPr/>
      </w:pPr>
      <w:r w:rsidDel="00000000" w:rsidR="00000000" w:rsidRPr="00000000">
        <w:rPr>
          <w:rtl w:val="0"/>
        </w:rPr>
        <w:t xml:space="preserve">Autorizado de López-Benavides &amp; Royo</w:t>
      </w:r>
    </w:p>
    <w:p w:rsidR="00000000" w:rsidDel="00000000" w:rsidP="00000000" w:rsidRDefault="00000000" w:rsidRPr="00000000" w14:paraId="0000002B">
      <w:pPr>
        <w:jc w:val="both"/>
        <w:rPr/>
      </w:pPr>
      <w:r w:rsidDel="00000000" w:rsidR="00000000" w:rsidRPr="00000000">
        <w:rPr>
          <w:rtl w:val="0"/>
        </w:rPr>
        <w:t xml:space="preserve">Firma:</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drawing>
          <wp:inline distB="114300" distT="114300" distL="114300" distR="114300">
            <wp:extent cx="4276725" cy="2857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76725"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-947737</wp:posOffset>
          </wp:positionH>
          <wp:positionV relativeFrom="paragraph">
            <wp:posOffset>-457199</wp:posOffset>
          </wp:positionV>
          <wp:extent cx="8172450" cy="1062038"/>
          <wp:effectExtent b="0" l="0" r="0" t="0"/>
          <wp:wrapTopAndBottom distB="0" distT="0"/>
          <wp:docPr id="1" name="image2.png"/>
          <a:graphic>
            <a:graphicData uri="http://schemas.openxmlformats.org/drawingml/2006/picture">
              <pic:pic>
                <pic:nvPicPr>
                  <pic:cNvPr id="0" name="image2.png"/>
                  <pic:cNvPicPr preferRelativeResize="0"/>
                </pic:nvPicPr>
                <pic:blipFill>
                  <a:blip r:embed="rId1"/>
                  <a:srcRect b="39251" l="0" r="82195" t="33733"/>
                  <a:stretch>
                    <a:fillRect/>
                  </a:stretch>
                </pic:blipFill>
                <pic:spPr>
                  <a:xfrm>
                    <a:off x="0" y="0"/>
                    <a:ext cx="8172450" cy="1062038"/>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1614488</wp:posOffset>
          </wp:positionH>
          <wp:positionV relativeFrom="paragraph">
            <wp:posOffset>-285749</wp:posOffset>
          </wp:positionV>
          <wp:extent cx="2709863" cy="723211"/>
          <wp:effectExtent b="0" l="0" r="0" t="0"/>
          <wp:wrapNone/>
          <wp:docPr id="3" name="image2.png"/>
          <a:graphic>
            <a:graphicData uri="http://schemas.openxmlformats.org/drawingml/2006/picture">
              <pic:pic>
                <pic:nvPicPr>
                  <pic:cNvPr id="0" name="image2.png"/>
                  <pic:cNvPicPr preferRelativeResize="0"/>
                </pic:nvPicPr>
                <pic:blipFill>
                  <a:blip r:embed="rId1"/>
                  <a:srcRect b="39251" l="0" r="0" t="33733"/>
                  <a:stretch>
                    <a:fillRect/>
                  </a:stretch>
                </pic:blipFill>
                <pic:spPr>
                  <a:xfrm>
                    <a:off x="0" y="0"/>
                    <a:ext cx="2709863" cy="7232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brlegal.com/" TargetMode="Externa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